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6"/>
          <w:szCs w:val="36"/>
        </w:rPr>
        <w:t>信阳师范学院2019年教师教学大奖赛评分规则</w:t>
      </w:r>
    </w:p>
    <w:tbl>
      <w:tblPr>
        <w:tblStyle w:val="2"/>
        <w:tblW w:w="10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877"/>
        <w:gridCol w:w="82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指标</w:t>
            </w: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jc w:val="center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b/>
                <w:color w:val="333333"/>
                <w:kern w:val="0"/>
                <w:sz w:val="24"/>
              </w:rPr>
              <w:t>评分内容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教学态度</w:t>
            </w: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b/>
                <w:color w:val="333333"/>
                <w:kern w:val="0"/>
                <w:sz w:val="24"/>
                <w:u w:val="single"/>
              </w:rPr>
              <w:t>遵守政治纪律和政治规矩，具有良好的师德师风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备课充分，教学内容娴熟，授课认真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严格课堂管理，尊重爱护学生，注重与学生沟通和交流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教学内容</w:t>
            </w: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教学内容充实，信息量大，符合教学大纲要求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信息量适度，教学内容有</w:t>
            </w:r>
            <w:r>
              <w:rPr>
                <w:rFonts w:hint="eastAsia" w:ascii="Times New Roman" w:hAnsi="宋体" w:cs="宋体"/>
                <w:b/>
                <w:color w:val="333333"/>
                <w:kern w:val="0"/>
                <w:sz w:val="24"/>
                <w:u w:val="single"/>
              </w:rPr>
              <w:t>创新性</w:t>
            </w: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，尽可能将研究成果融入教学内容，反映本学科及相邻学科的前沿动态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概念准确，条理清晰，观点正确，论证严密，逻辑性强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重点突出，有一定</w:t>
            </w:r>
            <w:r>
              <w:rPr>
                <w:rFonts w:hint="eastAsia" w:ascii="Times New Roman" w:hAnsi="宋体" w:cs="宋体"/>
                <w:b/>
                <w:color w:val="333333"/>
                <w:kern w:val="0"/>
                <w:sz w:val="24"/>
                <w:u w:val="single"/>
              </w:rPr>
              <w:t>高阶性和挑战度</w:t>
            </w:r>
            <w:bookmarkStart w:id="0" w:name="_GoBack"/>
            <w:bookmarkEnd w:id="0"/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教学方法和手段</w:t>
            </w: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u w:val="single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能够运用多种教学手段培养学生的创新精神和实践能力，注重因材施教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b/>
                <w:color w:val="333333"/>
                <w:kern w:val="0"/>
                <w:sz w:val="24"/>
                <w:u w:val="single"/>
              </w:rPr>
              <w:t>重视课堂互动，灵活运用启发式、讨论式和翻转课堂等方式教学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u w:val="single"/>
              </w:rPr>
            </w:pPr>
            <w:r>
              <w:rPr>
                <w:rFonts w:hint="eastAsia" w:ascii="Times New Roman" w:hAnsi="宋体" w:cs="宋体"/>
                <w:b/>
                <w:color w:val="333333"/>
                <w:kern w:val="0"/>
                <w:sz w:val="24"/>
                <w:u w:val="single"/>
              </w:rPr>
              <w:t>能够结合学科特点，选用信息技术、数字资源和信息化教学设施优化教学过程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重视课堂效果信息反馈，做到教学相长、协调一致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教学组织及能力</w:t>
            </w: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按照课程教学进程组织教学，合理安排教学内容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Times New Roman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333333"/>
                <w:kern w:val="0"/>
                <w:sz w:val="24"/>
                <w:u w:val="single"/>
              </w:rPr>
              <w:t>挖掘课程的思想政治教育元素，知识传授与价值引领相结合，育人意识明显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hint="eastAsia" w:ascii="Times New Roman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普通话标准，语言表达清楚、快慢适中、感染力强，用字规范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教态自然，肢体语言运用恰当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板书工整，字体规范，图示标准；多媒体课件直观、形象生动，内容科学、正确、规范，效果好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教学效果</w:t>
            </w: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课堂秩序良好，课堂气氛活跃，互动良好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学生能较好理解并掌握教学内容，反映良好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77" w:type="dxa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学生学习能力和分析、解决问题的能力得到提高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4" w:type="dxa"/>
            <w:gridSpan w:val="2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center"/>
              <w:rPr>
                <w:rFonts w:ascii="Times New Roman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</w:rPr>
              <w:t>总    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4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2019-04-30T07:13:53Z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